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229" w:rsidRDefault="00211229" w:rsidP="00211229">
      <w:pPr>
        <w:pStyle w:val="Default"/>
        <w:rPr>
          <w:b/>
          <w:sz w:val="28"/>
          <w:szCs w:val="28"/>
        </w:rPr>
      </w:pPr>
      <w:r w:rsidRPr="00211229">
        <w:rPr>
          <w:b/>
          <w:sz w:val="28"/>
          <w:szCs w:val="28"/>
        </w:rPr>
        <w:t xml:space="preserve">ARC A6 – GÉRONTOPSYCHIATRIE </w:t>
      </w:r>
    </w:p>
    <w:p w:rsidR="00BD0D7B" w:rsidRDefault="00BD0D7B" w:rsidP="00211229">
      <w:pPr>
        <w:pStyle w:val="Default"/>
        <w:rPr>
          <w:b/>
          <w:sz w:val="28"/>
          <w:szCs w:val="28"/>
        </w:rPr>
      </w:pPr>
    </w:p>
    <w:p w:rsidR="00BD0D7B" w:rsidRDefault="00BD0D7B" w:rsidP="0021122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Disponible à la bibliothèque en ligne seulement</w:t>
      </w:r>
    </w:p>
    <w:p w:rsidR="00BD0D7B" w:rsidRPr="00211229" w:rsidRDefault="00BD0D7B" w:rsidP="00211229">
      <w:pPr>
        <w:pStyle w:val="Default"/>
        <w:rPr>
          <w:b/>
          <w:sz w:val="28"/>
          <w:szCs w:val="28"/>
        </w:rPr>
      </w:pPr>
    </w:p>
    <w:p w:rsidR="00211229" w:rsidRDefault="00211229" w:rsidP="00211229">
      <w:pPr>
        <w:pStyle w:val="Default"/>
        <w:rPr>
          <w:b/>
          <w:bCs/>
          <w:sz w:val="22"/>
          <w:szCs w:val="22"/>
        </w:rPr>
      </w:pPr>
    </w:p>
    <w:p w:rsidR="00211229" w:rsidRPr="00211229" w:rsidRDefault="00211229" w:rsidP="00211229">
      <w:pPr>
        <w:pStyle w:val="Default"/>
        <w:numPr>
          <w:ilvl w:val="0"/>
          <w:numId w:val="10"/>
        </w:numPr>
        <w:ind w:left="270" w:hanging="270"/>
      </w:pPr>
      <w:r>
        <w:rPr>
          <w:b/>
          <w:bCs/>
        </w:rPr>
        <w:t>APPROCHE THÉRAPEUTIQUE</w:t>
      </w:r>
    </w:p>
    <w:p w:rsidR="00211229" w:rsidRDefault="00211229" w:rsidP="00211229">
      <w:pPr>
        <w:pStyle w:val="Default"/>
        <w:rPr>
          <w:sz w:val="22"/>
          <w:szCs w:val="22"/>
        </w:rPr>
      </w:pPr>
    </w:p>
    <w:p w:rsidR="00211229" w:rsidRPr="00211229" w:rsidRDefault="00211229" w:rsidP="00211229">
      <w:pPr>
        <w:pStyle w:val="Default"/>
      </w:pPr>
      <w:r w:rsidRPr="00211229">
        <w:rPr>
          <w:b/>
          <w:bCs/>
          <w:u w:val="single"/>
        </w:rPr>
        <w:t xml:space="preserve">Pharmacologique </w:t>
      </w:r>
    </w:p>
    <w:p w:rsidR="00211229" w:rsidRDefault="00211229" w:rsidP="00211229">
      <w:pPr>
        <w:pStyle w:val="Default"/>
        <w:rPr>
          <w:sz w:val="22"/>
          <w:szCs w:val="22"/>
        </w:rPr>
      </w:pPr>
    </w:p>
    <w:p w:rsidR="00211229" w:rsidRDefault="00211229" w:rsidP="002112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Retrait ou diminution de la médication « dangereuse », éviter </w:t>
      </w:r>
      <w:r w:rsidR="00BD0D7B">
        <w:rPr>
          <w:sz w:val="22"/>
          <w:szCs w:val="22"/>
        </w:rPr>
        <w:t>polypharmacie</w:t>
      </w:r>
      <w:r>
        <w:rPr>
          <w:sz w:val="22"/>
          <w:szCs w:val="22"/>
        </w:rPr>
        <w:t xml:space="preserve">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Benzodiazépines, glucocorticoïdes, anticholinergiques…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Antipsychotiques chez la personne âgée </w:t>
      </w:r>
    </w:p>
    <w:p w:rsidR="00211229" w:rsidRPr="00211229" w:rsidRDefault="00211229" w:rsidP="00211229">
      <w:pPr>
        <w:pStyle w:val="Default"/>
        <w:spacing w:before="120"/>
        <w:rPr>
          <w:sz w:val="22"/>
          <w:szCs w:val="22"/>
          <w:lang w:val="en-US"/>
        </w:rPr>
      </w:pPr>
      <w:r w:rsidRPr="00211229">
        <w:rPr>
          <w:sz w:val="22"/>
          <w:szCs w:val="22"/>
          <w:lang w:val="en-US"/>
        </w:rPr>
        <w:t xml:space="preserve">« Start low, go slow » </w:t>
      </w:r>
    </w:p>
    <w:p w:rsidR="00211229" w:rsidRPr="00211229" w:rsidRDefault="00211229" w:rsidP="00211229">
      <w:pPr>
        <w:pStyle w:val="Default"/>
        <w:spacing w:before="120"/>
        <w:rPr>
          <w:sz w:val="22"/>
          <w:szCs w:val="22"/>
          <w:lang w:val="en-US"/>
        </w:rPr>
      </w:pPr>
      <w:r w:rsidRPr="00211229">
        <w:rPr>
          <w:sz w:val="22"/>
          <w:szCs w:val="22"/>
          <w:lang w:val="en-US"/>
        </w:rPr>
        <w:t xml:space="preserve">Réévaluation fréquente </w:t>
      </w:r>
    </w:p>
    <w:p w:rsidR="00211229" w:rsidRDefault="002C478F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Risque d’effets extra</w:t>
      </w:r>
      <w:r w:rsidR="00211229">
        <w:rPr>
          <w:sz w:val="22"/>
          <w:szCs w:val="22"/>
        </w:rPr>
        <w:t xml:space="preserve">pyramidaux vs métaboliques vs « black‐box warning »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Inhibiteurs de l’acétylcholinestérase et </w:t>
      </w:r>
      <w:proofErr w:type="spellStart"/>
      <w:r>
        <w:rPr>
          <w:sz w:val="22"/>
          <w:szCs w:val="22"/>
        </w:rPr>
        <w:t>mémantine</w:t>
      </w:r>
      <w:proofErr w:type="spellEnd"/>
      <w:r>
        <w:rPr>
          <w:sz w:val="22"/>
          <w:szCs w:val="22"/>
        </w:rPr>
        <w:t xml:space="preserve">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Rôle (cognition +/‐ symptômes comportementaux)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Effets secondaires, contre‐indications, bilan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Évolution attendue (traitement non curatif)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Autre médication chez la personne âgée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Lithium (dosage, interactions médicamenteuses, troubles cognitifs, bilan)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Antidépresseurs (dépression, impulsivité ou labilité affective 2° à démence… Utiliser les effets secondaires,&gt;</w:t>
      </w:r>
      <w:r>
        <w:rPr>
          <w:sz w:val="22"/>
          <w:szCs w:val="22"/>
        </w:rPr>
        <w:br/>
        <w:t>tels appétit, somnolence… Attention à hyponatrémie</w:t>
      </w:r>
      <w:r w:rsidR="00864C9B">
        <w:rPr>
          <w:sz w:val="22"/>
          <w:szCs w:val="22"/>
        </w:rPr>
        <w:t>, hypertension, troubles cardio</w:t>
      </w:r>
      <w:r>
        <w:rPr>
          <w:sz w:val="22"/>
          <w:szCs w:val="22"/>
        </w:rPr>
        <w:t xml:space="preserve">vasculaires…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Thiamine si ROH (</w:t>
      </w:r>
      <w:proofErr w:type="spellStart"/>
      <w:r>
        <w:rPr>
          <w:sz w:val="22"/>
          <w:szCs w:val="22"/>
        </w:rPr>
        <w:t>benzo</w:t>
      </w:r>
      <w:proofErr w:type="spellEnd"/>
      <w:r>
        <w:rPr>
          <w:sz w:val="22"/>
          <w:szCs w:val="22"/>
        </w:rPr>
        <w:t xml:space="preserve"> si sevrage)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</w:p>
    <w:p w:rsidR="00211229" w:rsidRPr="00211229" w:rsidRDefault="00864C9B" w:rsidP="00211229">
      <w:pPr>
        <w:pStyle w:val="Default"/>
        <w:spacing w:before="120"/>
      </w:pPr>
      <w:r>
        <w:rPr>
          <w:b/>
          <w:bCs/>
          <w:u w:val="single"/>
        </w:rPr>
        <w:t>Psycho</w:t>
      </w:r>
      <w:r w:rsidR="00211229" w:rsidRPr="00211229">
        <w:rPr>
          <w:b/>
          <w:bCs/>
          <w:u w:val="single"/>
        </w:rPr>
        <w:t xml:space="preserve">sociale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Choix du milieu de traitement </w:t>
      </w:r>
    </w:p>
    <w:p w:rsidR="00211229" w:rsidRPr="00211229" w:rsidRDefault="00211229" w:rsidP="00211229">
      <w:pPr>
        <w:pStyle w:val="Default"/>
        <w:spacing w:before="120" w:after="114"/>
        <w:rPr>
          <w:sz w:val="22"/>
          <w:szCs w:val="22"/>
        </w:rPr>
      </w:pPr>
      <w:r w:rsidRPr="00211229">
        <w:rPr>
          <w:sz w:val="22"/>
          <w:szCs w:val="22"/>
        </w:rPr>
        <w:t xml:space="preserve">Hospitalisation (dangerosité, observation)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Hôpitaux de jour, suivi externe…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Hébergement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Éducation auprès des proches, reconnaître le risque d’épuisement du réseau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Groupes de pairs et ressources communautaires, réaménagement du milieu, routine, aide visuelle, rappels mnésiques, thérapie cognitive, comportementale, réminiscence…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</w:p>
    <w:p w:rsidR="00211229" w:rsidRPr="00211229" w:rsidRDefault="00211229" w:rsidP="00211229">
      <w:pPr>
        <w:pStyle w:val="Default"/>
        <w:spacing w:before="120"/>
      </w:pPr>
      <w:r w:rsidRPr="00211229">
        <w:rPr>
          <w:b/>
          <w:bCs/>
        </w:rPr>
        <w:t xml:space="preserve">B) </w:t>
      </w:r>
      <w:r>
        <w:rPr>
          <w:b/>
          <w:bCs/>
        </w:rPr>
        <w:t>DIAGNOSTICS DIFFÉRENTIELS</w:t>
      </w:r>
    </w:p>
    <w:p w:rsidR="00211229" w:rsidRPr="00211229" w:rsidRDefault="00211229" w:rsidP="00211229">
      <w:pPr>
        <w:pStyle w:val="Default"/>
        <w:spacing w:before="120" w:after="114"/>
        <w:rPr>
          <w:sz w:val="22"/>
          <w:szCs w:val="22"/>
        </w:rPr>
      </w:pPr>
      <w:r w:rsidRPr="00211229">
        <w:rPr>
          <w:sz w:val="22"/>
          <w:szCs w:val="22"/>
        </w:rPr>
        <w:t xml:space="preserve">Schizophrénie tardive vs paraphrénie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Trouble délirant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Trouble de l’humeur avec caractéristiques psychotiques (dépression ou manie)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Délirium, médication, infections…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Démence à corps de </w:t>
      </w:r>
      <w:proofErr w:type="spellStart"/>
      <w:r>
        <w:rPr>
          <w:sz w:val="22"/>
          <w:szCs w:val="22"/>
        </w:rPr>
        <w:t>Lewy</w:t>
      </w:r>
      <w:proofErr w:type="spellEnd"/>
      <w:r>
        <w:rPr>
          <w:sz w:val="22"/>
          <w:szCs w:val="22"/>
        </w:rPr>
        <w:t xml:space="preserve">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Syndrome de Charles‐Bonnet </w:t>
      </w:r>
    </w:p>
    <w:p w:rsidR="00211229" w:rsidRDefault="00211229" w:rsidP="00211229">
      <w:pPr>
        <w:pStyle w:val="Default"/>
        <w:numPr>
          <w:ilvl w:val="0"/>
          <w:numId w:val="5"/>
        </w:numPr>
        <w:spacing w:before="120"/>
        <w:rPr>
          <w:sz w:val="22"/>
          <w:szCs w:val="22"/>
        </w:rPr>
      </w:pPr>
    </w:p>
    <w:p w:rsidR="00211229" w:rsidRDefault="008350D2" w:rsidP="00211229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>SCHÉMA ORGANISATIONNEL</w:t>
      </w:r>
    </w:p>
    <w:p w:rsidR="00211229" w:rsidRDefault="00211229" w:rsidP="00211229">
      <w:pPr>
        <w:pStyle w:val="Default"/>
        <w:spacing w:before="120" w:after="20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Notion d’évaluation longitudinale </w:t>
      </w:r>
    </w:p>
    <w:p w:rsidR="00211229" w:rsidRDefault="00864C9B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  <w:u w:val="single"/>
        </w:rPr>
        <w:t>Fonctionnement pré</w:t>
      </w:r>
      <w:r w:rsidR="00211229">
        <w:rPr>
          <w:sz w:val="22"/>
          <w:szCs w:val="22"/>
          <w:u w:val="single"/>
        </w:rPr>
        <w:t xml:space="preserve">morbide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Personnalité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Antécédents psychiatriques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Diminution par rapport au fonctionnement antérieur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Humeur</w:t>
      </w:r>
    </w:p>
    <w:p w:rsidR="00211229" w:rsidRDefault="00211229" w:rsidP="00211229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Type d’évolution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Début soudain vs progressif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Évolution par paliers vs détérioration progressive vs fluctuations </w:t>
      </w:r>
    </w:p>
    <w:p w:rsidR="00211229" w:rsidRDefault="00211229" w:rsidP="00211229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Observation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Relation temporelle avec moment de la journée (</w:t>
      </w:r>
      <w:proofErr w:type="spellStart"/>
      <w:r>
        <w:rPr>
          <w:sz w:val="22"/>
          <w:szCs w:val="22"/>
        </w:rPr>
        <w:t>stresseur</w:t>
      </w:r>
      <w:proofErr w:type="spellEnd"/>
      <w:r>
        <w:rPr>
          <w:sz w:val="22"/>
          <w:szCs w:val="22"/>
        </w:rPr>
        <w:t>, douleu</w:t>
      </w:r>
      <w:r w:rsidR="004125B0">
        <w:rPr>
          <w:sz w:val="22"/>
          <w:szCs w:val="22"/>
        </w:rPr>
        <w:t>r, noirceur (Charles‐Bonnet), «</w:t>
      </w:r>
      <w:proofErr w:type="spellStart"/>
      <w:r>
        <w:rPr>
          <w:sz w:val="22"/>
          <w:szCs w:val="22"/>
        </w:rPr>
        <w:t>sundowning</w:t>
      </w:r>
      <w:proofErr w:type="spellEnd"/>
      <w:r>
        <w:rPr>
          <w:sz w:val="22"/>
          <w:szCs w:val="22"/>
        </w:rPr>
        <w:t>»</w:t>
      </w:r>
      <w:r w:rsidR="004125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ou inversion du rythme circadien (démence)… </w:t>
      </w:r>
    </w:p>
    <w:p w:rsidR="00211229" w:rsidRDefault="00211229" w:rsidP="008350D2">
      <w:pPr>
        <w:pStyle w:val="Default"/>
        <w:spacing w:before="24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Importance de l’évaluation médicale </w:t>
      </w:r>
    </w:p>
    <w:p w:rsidR="00211229" w:rsidRDefault="00864C9B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Maladies </w:t>
      </w:r>
      <w:r w:rsidR="00211229">
        <w:rPr>
          <w:sz w:val="22"/>
          <w:szCs w:val="22"/>
          <w:u w:val="single"/>
        </w:rPr>
        <w:t xml:space="preserve">ou signes et symptômes associés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Malad</w:t>
      </w:r>
      <w:r w:rsidR="00864C9B">
        <w:rPr>
          <w:sz w:val="22"/>
          <w:szCs w:val="22"/>
        </w:rPr>
        <w:t>ie et facteurs de risque cardio</w:t>
      </w:r>
      <w:r>
        <w:rPr>
          <w:sz w:val="22"/>
          <w:szCs w:val="22"/>
        </w:rPr>
        <w:t xml:space="preserve">vasculaires (tabagisme, diète, embonpoint, diabète, infarctus…)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Troubles visuels et auditifs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Troubles neurologiques (AVC, ICT, maladie de Parkinson, chorée de Huntington…)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Troubles du sommeil REM (</w:t>
      </w:r>
      <w:proofErr w:type="spellStart"/>
      <w:r>
        <w:rPr>
          <w:sz w:val="22"/>
          <w:szCs w:val="22"/>
        </w:rPr>
        <w:t>Lewy</w:t>
      </w:r>
      <w:proofErr w:type="spellEnd"/>
      <w:r>
        <w:rPr>
          <w:sz w:val="22"/>
          <w:szCs w:val="22"/>
        </w:rPr>
        <w:t xml:space="preserve">, Parkinson)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Autres (infections, maladies auto‐immunes, néoplasie, métastase…)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Examen physique ciblant les aspects précédents </w:t>
      </w:r>
    </w:p>
    <w:p w:rsidR="00211229" w:rsidRDefault="00864C9B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Cœur</w:t>
      </w:r>
      <w:r w:rsidR="00211229">
        <w:rPr>
          <w:sz w:val="22"/>
          <w:szCs w:val="22"/>
        </w:rPr>
        <w:t xml:space="preserve">, poumon, abdomen (souffles carotidiens…)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Attention particulière à l’examen neurologique (déficits focaux, apraxie, aphasie, agnosie, dysphasie, démarche, audition, vision…)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Médication et habitudes de vie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Médication anticholinergique (effet additif de la polypharmacie)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Glucocorticoïdes </w:t>
      </w:r>
      <w:bookmarkStart w:id="0" w:name="_GoBack"/>
      <w:bookmarkEnd w:id="0"/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Benzodiazépines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Changement de médication récent, essais pharmacologiques antérieurs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Alcool (intoxication, sevrage, trouble cognitif 2° à l’alcool, Wernicke‐Korsakoff)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Drogues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</w:p>
    <w:p w:rsidR="008350D2" w:rsidRDefault="008350D2">
      <w:pPr>
        <w:rPr>
          <w:rFonts w:ascii="Calibri" w:hAnsi="Calibri" w:cs="Calibri"/>
          <w:b/>
          <w:bCs/>
          <w:color w:val="000000"/>
          <w:u w:val="single"/>
        </w:rPr>
      </w:pPr>
      <w:r>
        <w:rPr>
          <w:b/>
          <w:bCs/>
          <w:u w:val="single"/>
        </w:rPr>
        <w:br w:type="page"/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 xml:space="preserve">Bilans et examens complémentaires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Examens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Routine + Ca, Mg, B12, Folate, TSH, VDRL, toxicologie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ECG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Scan cérébral vs IRM vs imagerie fonctionnelle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EEG PRN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Audiométrie, vision PRN </w:t>
      </w:r>
    </w:p>
    <w:p w:rsidR="008350D2" w:rsidRDefault="008350D2" w:rsidP="00211229">
      <w:pPr>
        <w:pStyle w:val="Default"/>
        <w:spacing w:before="120"/>
        <w:rPr>
          <w:sz w:val="22"/>
          <w:szCs w:val="22"/>
          <w:u w:val="single"/>
        </w:rPr>
      </w:pP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Évaluations complémentaires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Importance du travail multidisciplinaire et de l’implication des proches </w:t>
      </w:r>
    </w:p>
    <w:p w:rsidR="00211229" w:rsidRDefault="00211229" w:rsidP="00211229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Connaître le rôle des intervenants (médecins, infirmière, ergothérapeute, psychologue, neuropsychologue, travailleur social…) </w:t>
      </w:r>
    </w:p>
    <w:p w:rsidR="00A5457B" w:rsidRPr="008350D2" w:rsidRDefault="00211229" w:rsidP="008350D2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Connaître les batteries cognitives de base (</w:t>
      </w:r>
      <w:proofErr w:type="spellStart"/>
      <w:r>
        <w:rPr>
          <w:sz w:val="22"/>
          <w:szCs w:val="22"/>
        </w:rPr>
        <w:t>Folstein</w:t>
      </w:r>
      <w:proofErr w:type="spellEnd"/>
      <w:r>
        <w:rPr>
          <w:sz w:val="22"/>
          <w:szCs w:val="22"/>
        </w:rPr>
        <w:t>, MOCA…), leur</w:t>
      </w:r>
      <w:r w:rsidR="008350D2">
        <w:rPr>
          <w:sz w:val="22"/>
          <w:szCs w:val="22"/>
        </w:rPr>
        <w:t>s indications et leurs limite</w:t>
      </w:r>
      <w:r w:rsidR="00BD0D7B">
        <w:rPr>
          <w:sz w:val="22"/>
          <w:szCs w:val="22"/>
        </w:rPr>
        <w:t>s</w:t>
      </w:r>
    </w:p>
    <w:sectPr w:rsidR="00A5457B" w:rsidRPr="008350D2" w:rsidSect="00211229">
      <w:pgSz w:w="12240" w:h="16340"/>
      <w:pgMar w:top="720" w:right="1478" w:bottom="144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82E225"/>
    <w:multiLevelType w:val="hybridMultilevel"/>
    <w:tmpl w:val="F0FB92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A98116"/>
    <w:multiLevelType w:val="hybridMultilevel"/>
    <w:tmpl w:val="32CD63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440AC9"/>
    <w:multiLevelType w:val="hybridMultilevel"/>
    <w:tmpl w:val="1133F7A2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8707FF"/>
    <w:multiLevelType w:val="hybridMultilevel"/>
    <w:tmpl w:val="0C8889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4B8B61"/>
    <w:multiLevelType w:val="hybridMultilevel"/>
    <w:tmpl w:val="BAA84B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519F31"/>
    <w:multiLevelType w:val="hybridMultilevel"/>
    <w:tmpl w:val="ABA401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4D6B57"/>
    <w:multiLevelType w:val="hybridMultilevel"/>
    <w:tmpl w:val="F208A1E4"/>
    <w:lvl w:ilvl="0" w:tplc="2B8CFE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A4C7"/>
    <w:multiLevelType w:val="hybridMultilevel"/>
    <w:tmpl w:val="5E1069B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920BE8"/>
    <w:multiLevelType w:val="hybridMultilevel"/>
    <w:tmpl w:val="B9B5843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F59565"/>
    <w:multiLevelType w:val="hybridMultilevel"/>
    <w:tmpl w:val="199F022B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9"/>
    <w:rsid w:val="000A0174"/>
    <w:rsid w:val="00211229"/>
    <w:rsid w:val="00262BF1"/>
    <w:rsid w:val="002C478F"/>
    <w:rsid w:val="004125B0"/>
    <w:rsid w:val="007E7398"/>
    <w:rsid w:val="008350D2"/>
    <w:rsid w:val="00864C9B"/>
    <w:rsid w:val="00B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923DC-2FEB-4C2D-BDA7-01E58184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11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 Céline</dc:creator>
  <cp:keywords/>
  <dc:description/>
  <cp:lastModifiedBy>Mennai Meriem</cp:lastModifiedBy>
  <cp:revision>6</cp:revision>
  <dcterms:created xsi:type="dcterms:W3CDTF">2019-12-17T19:48:00Z</dcterms:created>
  <dcterms:modified xsi:type="dcterms:W3CDTF">2020-03-16T14:33:00Z</dcterms:modified>
</cp:coreProperties>
</file>